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92" w:rsidRPr="00375C5D" w:rsidRDefault="00981692" w:rsidP="00FA3C54">
      <w:pPr>
        <w:pStyle w:val="a6"/>
        <w:tabs>
          <w:tab w:val="clear" w:pos="4153"/>
          <w:tab w:val="clear" w:pos="8306"/>
        </w:tabs>
        <w:suppressAutoHyphens/>
        <w:spacing w:line="280" w:lineRule="exact"/>
        <w:ind w:right="3826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002E2" w:rsidRPr="00375C5D" w:rsidRDefault="006002E2" w:rsidP="00FA3C54">
      <w:pPr>
        <w:pStyle w:val="a6"/>
        <w:tabs>
          <w:tab w:val="clear" w:pos="4153"/>
          <w:tab w:val="clear" w:pos="8306"/>
        </w:tabs>
        <w:suppressAutoHyphens/>
        <w:spacing w:line="280" w:lineRule="exact"/>
        <w:ind w:right="3826"/>
        <w:jc w:val="both"/>
        <w:rPr>
          <w:rFonts w:ascii="Times New Roman" w:hAnsi="Times New Roman"/>
          <w:b/>
          <w:sz w:val="28"/>
          <w:szCs w:val="28"/>
        </w:rPr>
      </w:pPr>
    </w:p>
    <w:p w:rsidR="00C07B4A" w:rsidRPr="00375C5D" w:rsidRDefault="00036DF4" w:rsidP="00FA3C54">
      <w:pPr>
        <w:pStyle w:val="a6"/>
        <w:tabs>
          <w:tab w:val="clear" w:pos="4153"/>
          <w:tab w:val="clear" w:pos="8306"/>
        </w:tabs>
        <w:suppressAutoHyphens/>
        <w:spacing w:line="280" w:lineRule="exact"/>
        <w:ind w:right="3826"/>
        <w:jc w:val="both"/>
        <w:rPr>
          <w:rFonts w:ascii="Times New Roman" w:hAnsi="Times New Roman"/>
          <w:b/>
          <w:sz w:val="28"/>
          <w:szCs w:val="28"/>
        </w:rPr>
      </w:pPr>
      <w:r w:rsidRPr="00375C5D">
        <w:rPr>
          <w:rFonts w:ascii="Times New Roman" w:hAnsi="Times New Roman"/>
          <w:b/>
          <w:sz w:val="28"/>
          <w:szCs w:val="28"/>
        </w:rPr>
        <w:t xml:space="preserve">Справочно-информационные материалы </w:t>
      </w:r>
      <w:r w:rsidR="008A3017" w:rsidRPr="00375C5D">
        <w:rPr>
          <w:rFonts w:ascii="Times New Roman" w:hAnsi="Times New Roman"/>
          <w:b/>
          <w:sz w:val="28"/>
          <w:szCs w:val="28"/>
        </w:rPr>
        <w:t>по вопросам, связанным с</w:t>
      </w:r>
      <w:r w:rsidRPr="00375C5D">
        <w:rPr>
          <w:rFonts w:ascii="Times New Roman" w:hAnsi="Times New Roman"/>
          <w:b/>
          <w:sz w:val="28"/>
          <w:szCs w:val="28"/>
        </w:rPr>
        <w:t xml:space="preserve"> реализаци</w:t>
      </w:r>
      <w:r w:rsidR="008A3017" w:rsidRPr="00375C5D">
        <w:rPr>
          <w:rFonts w:ascii="Times New Roman" w:hAnsi="Times New Roman"/>
          <w:b/>
          <w:sz w:val="28"/>
          <w:szCs w:val="28"/>
        </w:rPr>
        <w:t>ей</w:t>
      </w:r>
      <w:r w:rsidRPr="00375C5D">
        <w:rPr>
          <w:rFonts w:ascii="Times New Roman" w:hAnsi="Times New Roman"/>
          <w:b/>
          <w:sz w:val="28"/>
          <w:szCs w:val="28"/>
        </w:rPr>
        <w:t xml:space="preserve"> проекта строительства </w:t>
      </w:r>
      <w:r w:rsidR="00C07B4A" w:rsidRPr="00375C5D">
        <w:rPr>
          <w:rFonts w:ascii="Times New Roman" w:hAnsi="Times New Roman"/>
          <w:b/>
          <w:sz w:val="28"/>
          <w:szCs w:val="28"/>
        </w:rPr>
        <w:t xml:space="preserve"> </w:t>
      </w:r>
      <w:r w:rsidRPr="00375C5D">
        <w:rPr>
          <w:rFonts w:ascii="Times New Roman" w:hAnsi="Times New Roman"/>
          <w:b/>
          <w:sz w:val="28"/>
          <w:szCs w:val="28"/>
        </w:rPr>
        <w:t>Белорусской АЭС</w:t>
      </w:r>
    </w:p>
    <w:p w:rsidR="001114D8" w:rsidRPr="00375C5D" w:rsidRDefault="001114D8" w:rsidP="00FA3C54">
      <w:pPr>
        <w:pStyle w:val="a6"/>
        <w:tabs>
          <w:tab w:val="clear" w:pos="4153"/>
          <w:tab w:val="clear" w:pos="8306"/>
          <w:tab w:val="left" w:pos="6804"/>
        </w:tabs>
        <w:suppressAutoHyphens/>
        <w:spacing w:line="280" w:lineRule="exact"/>
        <w:jc w:val="both"/>
        <w:rPr>
          <w:rFonts w:ascii="Times New Roman" w:hAnsi="Times New Roman"/>
          <w:sz w:val="28"/>
          <w:szCs w:val="28"/>
        </w:rPr>
      </w:pPr>
    </w:p>
    <w:p w:rsidR="009A55E2" w:rsidRPr="00375C5D" w:rsidRDefault="009A55E2" w:rsidP="009A55E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C5D">
        <w:rPr>
          <w:rFonts w:ascii="Times New Roman" w:hAnsi="Times New Roman"/>
          <w:b/>
          <w:sz w:val="28"/>
          <w:szCs w:val="28"/>
        </w:rPr>
        <w:t>Выбор площадки для строительства Белорусской АЭС</w:t>
      </w:r>
    </w:p>
    <w:p w:rsidR="009A55E2" w:rsidRPr="00375C5D" w:rsidRDefault="009A55E2" w:rsidP="009A55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 xml:space="preserve">Выбор площадки для строительства атомной электростанции осуществлялся строго в соответствии с действующим законодательством Республики Беларусь и рекомендациями МАГАТЭ. </w:t>
      </w:r>
    </w:p>
    <w:p w:rsidR="009A55E2" w:rsidRPr="00375C5D" w:rsidRDefault="009A55E2" w:rsidP="009A55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ja-JP" w:bidi="bn-IN"/>
        </w:rPr>
      </w:pPr>
      <w:r w:rsidRPr="00375C5D">
        <w:rPr>
          <w:rFonts w:ascii="Times New Roman" w:hAnsi="Times New Roman"/>
          <w:sz w:val="28"/>
          <w:szCs w:val="28"/>
          <w:lang w:eastAsia="ja-JP" w:bidi="bn-IN"/>
        </w:rPr>
        <w:t>Белорусская АЭС расположена на расстоянии 24 км от ближайшей границы с сопредельным государством – Республика Литва и около 50 км от столицы Литвы – г. Вильнюса. В соответствии с действующими в период подготовки ОВОС требованиями безопасности МАГАТЭ NS-R-3 «Оценка площадок для ядерных установок» (2010, пункты 4.10 - 4.13) установлено требование, что вокруг АЭС должна быть выполнена оценка распределение населения в пределах района, радиус в пределах которого требуется оценить распределение населения выбирается с учетом установившейся в стране практики. Эта оценка выполнена, подробная дополнительная информация направлена литовской стороне и в секретариат Конвенции Эспо.</w:t>
      </w:r>
    </w:p>
    <w:p w:rsidR="007A1B0E" w:rsidRPr="00375C5D" w:rsidRDefault="00193229" w:rsidP="0078215F">
      <w:pPr>
        <w:ind w:firstLine="760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Дополнительные исследования сейсмической активности проводятся НАНБ в рамках выполнения Национального плана реализации работ по результатам проведенных стресс-тестов Белорусской АЭС</w:t>
      </w:r>
      <w:r w:rsidR="0078215F" w:rsidRPr="00375C5D">
        <w:rPr>
          <w:rFonts w:ascii="Times New Roman" w:hAnsi="Times New Roman"/>
          <w:sz w:val="28"/>
          <w:szCs w:val="28"/>
        </w:rPr>
        <w:t xml:space="preserve">. </w:t>
      </w:r>
    </w:p>
    <w:p w:rsidR="0078215F" w:rsidRPr="00375C5D" w:rsidRDefault="00193229" w:rsidP="007A1B0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Они включают</w:t>
      </w:r>
      <w:r w:rsidR="0078215F" w:rsidRPr="00375C5D">
        <w:rPr>
          <w:rFonts w:ascii="Times New Roman" w:hAnsi="Times New Roman"/>
          <w:sz w:val="28"/>
          <w:szCs w:val="28"/>
        </w:rPr>
        <w:t>:</w:t>
      </w:r>
    </w:p>
    <w:p w:rsidR="0078215F" w:rsidRPr="00375C5D" w:rsidRDefault="0078215F" w:rsidP="007821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анализ нормативной основы по оценке сейсмической безопасности при размещении объектов атомной энергии;</w:t>
      </w:r>
    </w:p>
    <w:p w:rsidR="0078215F" w:rsidRPr="00375C5D" w:rsidRDefault="0078215F" w:rsidP="007821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поиск дополнительной информации по литературным и архивным источникам о региональной и локальной сейсмичности в районе Гудогайского землетрясения 1908 года;</w:t>
      </w:r>
    </w:p>
    <w:p w:rsidR="0078215F" w:rsidRPr="00375C5D" w:rsidRDefault="0078215F" w:rsidP="007821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 xml:space="preserve">сбор и изучение сведений об инструментальных сейсмологических наблюдениях в Европе и Азии в период с декабря </w:t>
      </w:r>
      <w:r w:rsidRPr="00375C5D">
        <w:rPr>
          <w:rFonts w:ascii="Times New Roman" w:hAnsi="Times New Roman"/>
          <w:sz w:val="28"/>
          <w:szCs w:val="28"/>
        </w:rPr>
        <w:br/>
        <w:t>1908  по январь 1909 годов с проведением дополнительной обработки данных;</w:t>
      </w:r>
    </w:p>
    <w:p w:rsidR="0078215F" w:rsidRPr="00375C5D" w:rsidRDefault="0078215F" w:rsidP="007821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исследования эпицентральной зоны Гудогайского землетрясения;</w:t>
      </w:r>
    </w:p>
    <w:p w:rsidR="0078215F" w:rsidRPr="00375C5D" w:rsidRDefault="0078215F" w:rsidP="007821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анализ многолетних наблюдений и приведены результаты обработки данных сейсмологического мониторинга в районе размещения Белорусской АЭС.</w:t>
      </w:r>
    </w:p>
    <w:p w:rsidR="00A00672" w:rsidRPr="00375C5D" w:rsidRDefault="00A00672" w:rsidP="00A00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В январе 2017 г</w:t>
      </w:r>
      <w:r w:rsidR="00FF67C2" w:rsidRPr="00375C5D">
        <w:rPr>
          <w:rFonts w:ascii="Times New Roman" w:hAnsi="Times New Roman"/>
          <w:sz w:val="28"/>
          <w:szCs w:val="28"/>
        </w:rPr>
        <w:t>.</w:t>
      </w:r>
      <w:r w:rsidRPr="00375C5D">
        <w:rPr>
          <w:rFonts w:ascii="Times New Roman" w:hAnsi="Times New Roman"/>
          <w:sz w:val="28"/>
          <w:szCs w:val="28"/>
        </w:rPr>
        <w:t xml:space="preserve"> в Республике Беларусь прошла миссия по комплексной оценке площадки АЭС с учетом внешних событий (миссия </w:t>
      </w:r>
      <w:r w:rsidRPr="00375C5D">
        <w:rPr>
          <w:rFonts w:ascii="Times New Roman" w:hAnsi="Times New Roman"/>
          <w:sz w:val="28"/>
          <w:szCs w:val="28"/>
          <w:lang w:val="en-US"/>
        </w:rPr>
        <w:t>SEED</w:t>
      </w:r>
      <w:r w:rsidR="00FF67C2" w:rsidRPr="00375C5D">
        <w:rPr>
          <w:rFonts w:ascii="Times New Roman" w:hAnsi="Times New Roman"/>
          <w:sz w:val="28"/>
          <w:szCs w:val="28"/>
        </w:rPr>
        <w:t xml:space="preserve"> МАГАТЭ</w:t>
      </w:r>
      <w:r w:rsidRPr="00375C5D">
        <w:rPr>
          <w:rFonts w:ascii="Times New Roman" w:hAnsi="Times New Roman"/>
          <w:sz w:val="28"/>
          <w:szCs w:val="28"/>
        </w:rPr>
        <w:t>), которая предоставляет собой независимый обзор оценки площадки и проектной безопасности ядерной установки по отношению к внешним угрозам, вызванным как природными (землетрясения, ураганы, наводнения и т.д.), так и человеческим фактором (нарушение инструкций, производственного процесса и т.д.).</w:t>
      </w:r>
    </w:p>
    <w:p w:rsidR="00A00672" w:rsidRPr="00375C5D" w:rsidRDefault="00A00672" w:rsidP="00A00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 xml:space="preserve">Данная миссия была проведена в соответствие с пунктом 64 рекомендаций 6-го Совещания сторон Комитета по соблюдению Конвенции об оценке воздействия на окружающую среду в трансграничном контексте (Конвенция Эспо). </w:t>
      </w:r>
    </w:p>
    <w:p w:rsidR="00A00672" w:rsidRPr="00375C5D" w:rsidRDefault="00A00672" w:rsidP="00A00672">
      <w:pPr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75C5D">
        <w:rPr>
          <w:rFonts w:ascii="Times New Roman" w:hAnsi="Times New Roman"/>
          <w:i/>
          <w:iCs/>
          <w:sz w:val="28"/>
          <w:szCs w:val="28"/>
        </w:rPr>
        <w:t xml:space="preserve">Справочно: п. 64 «призывает Беларусь далее разрабатывать меры по укреплению доверия, в том числе путем направления Международному агентству по атомной энергии (МАГАТЭ) предложения организовать миссию </w:t>
      </w:r>
      <w:r w:rsidRPr="00375C5D">
        <w:rPr>
          <w:rFonts w:ascii="Times New Roman" w:hAnsi="Times New Roman"/>
          <w:i/>
          <w:iCs/>
          <w:sz w:val="28"/>
          <w:szCs w:val="28"/>
        </w:rPr>
        <w:lastRenderedPageBreak/>
        <w:t>по комплексной оценке площадки АЭС с учетом внешних событий (SEED) с целью проведения оценки критериев и результатов исследований для выбора площадки под атомную электростанцию, а также ее строительства и эксплуатации, в целях обеспечения ее полной безопасности.</w:t>
      </w:r>
    </w:p>
    <w:p w:rsidR="00A00672" w:rsidRPr="00375C5D" w:rsidRDefault="00A00672" w:rsidP="00A00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 xml:space="preserve">В итоговом документе миссии было отмечено, что тщательная оценка опасных внешних воздействий проведена и задокументирована, проблем безопасности в контексте внешних воздействий на основе сравнительного анализа характеристик площадки АЭС и проектных параметров нет, имеются необходимые программы мониторинга, а также приняты меры с учетом аварии на АЭС Фукусима. </w:t>
      </w:r>
    </w:p>
    <w:p w:rsidR="00A00672" w:rsidRPr="00375C5D" w:rsidRDefault="00A00672" w:rsidP="00A00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Также были даны предложения по дополнению документации в области электромагнитных помех и молний, и предложение учитывать в дальнейшем рекомендации, которые будут разрабатываться МАГАТЭ в свете уроков аварии на АЭС Фукусима.</w:t>
      </w:r>
    </w:p>
    <w:p w:rsidR="00A00672" w:rsidRPr="00375C5D" w:rsidRDefault="00A00672" w:rsidP="00A0067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По итогам миссии отмечены две положительные практики: проведение вероятностного анализа безопасности (ВАБ) первого и второго уровня перед началом коммерческой эксплуатации АЭС и всесторонняя оценка внешних воздействий на площадку АЭС.</w:t>
      </w:r>
    </w:p>
    <w:p w:rsidR="00193229" w:rsidRPr="00375C5D" w:rsidRDefault="00A00672" w:rsidP="007821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Отчет миссии находится в свободном доступе.</w:t>
      </w:r>
    </w:p>
    <w:p w:rsidR="0078215F" w:rsidRPr="00375C5D" w:rsidRDefault="00FF67C2" w:rsidP="007821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Кроме того</w:t>
      </w:r>
      <w:r w:rsidR="0078215F" w:rsidRPr="00375C5D">
        <w:rPr>
          <w:rFonts w:ascii="Times New Roman" w:hAnsi="Times New Roman"/>
          <w:sz w:val="28"/>
          <w:szCs w:val="28"/>
        </w:rPr>
        <w:t xml:space="preserve">, в 2015 году Белорусская АЭС разработала программу послепроектного анализа в рамках Конвенции Эспо и приглашает к взаимодействию литовскую сторону. Отчет по результатам экологического мониторинга в зоне наблюдения Белорусской АЭС в рамках послепроектного анализа (нулевой фон) </w:t>
      </w:r>
      <w:r w:rsidR="00AF2BFC" w:rsidRPr="00375C5D">
        <w:rPr>
          <w:rFonts w:ascii="Times New Roman" w:hAnsi="Times New Roman"/>
          <w:sz w:val="28"/>
          <w:szCs w:val="28"/>
        </w:rPr>
        <w:t xml:space="preserve">направлен </w:t>
      </w:r>
      <w:r w:rsidR="00913788" w:rsidRPr="00375C5D">
        <w:rPr>
          <w:rFonts w:ascii="Times New Roman" w:hAnsi="Times New Roman"/>
          <w:sz w:val="28"/>
          <w:szCs w:val="28"/>
        </w:rPr>
        <w:t>всем заинтересованным</w:t>
      </w:r>
      <w:r w:rsidR="0078215F" w:rsidRPr="00375C5D">
        <w:rPr>
          <w:rFonts w:ascii="Times New Roman" w:hAnsi="Times New Roman"/>
          <w:sz w:val="28"/>
          <w:szCs w:val="28"/>
        </w:rPr>
        <w:t>.</w:t>
      </w:r>
    </w:p>
    <w:p w:rsidR="009A55E2" w:rsidRPr="00375C5D" w:rsidRDefault="009A55E2" w:rsidP="00C35B9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801C9" w:rsidRPr="00375C5D" w:rsidRDefault="00A801C9" w:rsidP="00C35B9C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5C5D">
        <w:rPr>
          <w:rFonts w:ascii="Times New Roman" w:hAnsi="Times New Roman"/>
          <w:b/>
          <w:sz w:val="28"/>
          <w:szCs w:val="28"/>
        </w:rPr>
        <w:t>О проекте Белорусской АЭС</w:t>
      </w:r>
    </w:p>
    <w:p w:rsidR="00A801C9" w:rsidRPr="00375C5D" w:rsidRDefault="00A801C9" w:rsidP="00A801C9">
      <w:pPr>
        <w:suppressAutoHyphens/>
        <w:autoSpaceDE w:val="0"/>
        <w:autoSpaceDN w:val="0"/>
        <w:ind w:firstLine="709"/>
        <w:jc w:val="both"/>
        <w:rPr>
          <w:rFonts w:ascii="Times New Roman" w:eastAsia="NanumGothic" w:hAnsi="Times New Roman"/>
          <w:sz w:val="28"/>
          <w:szCs w:val="28"/>
        </w:rPr>
      </w:pPr>
      <w:r w:rsidRPr="00375C5D">
        <w:rPr>
          <w:rFonts w:ascii="Times New Roman" w:eastAsia="NanumGothic" w:hAnsi="Times New Roman"/>
          <w:sz w:val="28"/>
          <w:szCs w:val="28"/>
        </w:rPr>
        <w:t xml:space="preserve">Для реализации в Республике Беларусь выбран российский проект АЭС-2006, относящийся к эволюционным проектам АЭС с водо-водяными реакторами третьего поколения повышенной безопасности. </w:t>
      </w:r>
    </w:p>
    <w:p w:rsidR="00A801C9" w:rsidRPr="00375C5D" w:rsidRDefault="00A801C9" w:rsidP="00A801C9">
      <w:pPr>
        <w:tabs>
          <w:tab w:val="left" w:pos="993"/>
        </w:tabs>
        <w:suppressAutoHyphens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75C5D">
        <w:rPr>
          <w:rFonts w:ascii="Times New Roman" w:eastAsiaTheme="minorEastAsia" w:hAnsi="Times New Roman"/>
          <w:sz w:val="28"/>
          <w:szCs w:val="28"/>
        </w:rPr>
        <w:t xml:space="preserve">Данный проект, реализуемый в Республике Беларусь с реакторной установкой ВВЭР-1200, соответствует самым строгим международным нормам и рекомендациям Международного агентства по атомной энергии (МАГАТЭ) по безопасности, отличается повышенными характеристиками безопасности и улучшенными технико-экономическими показателями. </w:t>
      </w:r>
      <w:r w:rsidRPr="00375C5D">
        <w:rPr>
          <w:rFonts w:ascii="Times New Roman" w:eastAsiaTheme="minorEastAsia" w:hAnsi="Times New Roman"/>
          <w:sz w:val="28"/>
          <w:szCs w:val="28"/>
        </w:rPr>
        <w:br/>
        <w:t xml:space="preserve">Технология ВВЭР на сегодняшний день является самой востребованной и апробированной в мире. По данной российской технологии в течение последнего десятилетия введены в эксплуатацию АЭС в КНР, Индии, а также ведутся подготовительные работы по строительству АЭС по проекту АЭС-2006 в Египте, Турции, Венгрии, Финляндии, Бангладеш, Узбекистане (АЭС-2006 является основным экспортным проектом корпорации Росатом). </w:t>
      </w:r>
    </w:p>
    <w:p w:rsidR="00A801C9" w:rsidRPr="00375C5D" w:rsidRDefault="00A801C9" w:rsidP="00A801C9">
      <w:pPr>
        <w:suppressAutoHyphens/>
        <w:autoSpaceDE w:val="0"/>
        <w:autoSpaceDN w:val="0"/>
        <w:ind w:firstLine="709"/>
        <w:jc w:val="both"/>
        <w:rPr>
          <w:rFonts w:ascii="Times New Roman" w:eastAsia="NanumGothic" w:hAnsi="Times New Roman"/>
          <w:sz w:val="28"/>
          <w:szCs w:val="28"/>
        </w:rPr>
      </w:pPr>
      <w:r w:rsidRPr="00375C5D">
        <w:rPr>
          <w:rFonts w:ascii="Times New Roman" w:eastAsia="NanumGothic" w:hAnsi="Times New Roman"/>
          <w:sz w:val="28"/>
          <w:szCs w:val="28"/>
        </w:rPr>
        <w:t xml:space="preserve">Проект АЭС-2006 имеет многоуровневые системы безопасности, которые не позволяют нештатным ситуациям перерасти в аварию ни при каких обстоятельствах, так как целый ряд «пассивных» и «активных» устройств препятствует выходу радиоактивных веществ наружу. Здание реактора укрывается двойной защитной оболочкой с вентилируемым пространством между «слоями». Внутренняя металлическая оболочка защищает окружающую среду и людей от радиации, а наружная предохраняет реактор от </w:t>
      </w:r>
      <w:r w:rsidRPr="00375C5D">
        <w:rPr>
          <w:rFonts w:ascii="Times New Roman" w:eastAsia="NanumGothic" w:hAnsi="Times New Roman"/>
          <w:sz w:val="28"/>
          <w:szCs w:val="28"/>
        </w:rPr>
        <w:lastRenderedPageBreak/>
        <w:t xml:space="preserve">нежелательного воздействия извне. Реактор не пострадает в случае землетрясения, урагана, наводнения, взрыва и даже падения самолета. </w:t>
      </w:r>
    </w:p>
    <w:p w:rsidR="00A801C9" w:rsidRPr="00375C5D" w:rsidRDefault="00A801C9" w:rsidP="00A801C9">
      <w:pPr>
        <w:suppressAutoHyphens/>
        <w:autoSpaceDE w:val="0"/>
        <w:autoSpaceDN w:val="0"/>
        <w:ind w:firstLine="709"/>
        <w:jc w:val="both"/>
        <w:rPr>
          <w:rFonts w:ascii="Times New Roman" w:eastAsia="NanumGothic" w:hAnsi="Times New Roman"/>
          <w:sz w:val="28"/>
          <w:szCs w:val="28"/>
        </w:rPr>
      </w:pPr>
      <w:r w:rsidRPr="00375C5D">
        <w:rPr>
          <w:rFonts w:ascii="Times New Roman" w:eastAsia="NanumGothic" w:hAnsi="Times New Roman"/>
          <w:sz w:val="28"/>
          <w:szCs w:val="28"/>
        </w:rPr>
        <w:t xml:space="preserve">Кроме активных систем безопасности энергоблоки АЭС оснащены пассивными системами, для приведения в действие которых не требуется вмешательство оператора и подвод энергии. Их безопасность основана на многобарьерной защите, предотвращающей выход радиоактивных продуктов деления в окружающую среду. </w:t>
      </w:r>
    </w:p>
    <w:p w:rsidR="00A801C9" w:rsidRPr="00375C5D" w:rsidRDefault="00A801C9" w:rsidP="00A801C9">
      <w:pPr>
        <w:suppressAutoHyphens/>
        <w:autoSpaceDE w:val="0"/>
        <w:autoSpaceDN w:val="0"/>
        <w:ind w:firstLine="709"/>
        <w:jc w:val="both"/>
        <w:rPr>
          <w:rFonts w:ascii="Times New Roman" w:eastAsia="NanumGothic" w:hAnsi="Times New Roman"/>
          <w:sz w:val="28"/>
          <w:szCs w:val="28"/>
        </w:rPr>
      </w:pPr>
      <w:r w:rsidRPr="00375C5D">
        <w:rPr>
          <w:rFonts w:ascii="Times New Roman" w:eastAsia="NanumGothic" w:hAnsi="Times New Roman"/>
          <w:sz w:val="28"/>
          <w:szCs w:val="28"/>
        </w:rPr>
        <w:t xml:space="preserve">Также к пассивным системам безопасности, применяемым на энергоблоках АЭС-2006, относятся «ловушка» расплава активной зоны и пассивная система отвода остаточного тепла. </w:t>
      </w:r>
    </w:p>
    <w:p w:rsidR="00A801C9" w:rsidRPr="00375C5D" w:rsidRDefault="00A801C9" w:rsidP="00A801C9">
      <w:pPr>
        <w:tabs>
          <w:tab w:val="left" w:pos="993"/>
        </w:tabs>
        <w:suppressAutoHyphens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75C5D">
        <w:rPr>
          <w:rFonts w:ascii="Times New Roman" w:eastAsiaTheme="minorEastAsia" w:hAnsi="Times New Roman"/>
          <w:sz w:val="28"/>
          <w:szCs w:val="28"/>
        </w:rPr>
        <w:t xml:space="preserve">Это не экспериментальный реактор, а усовершенствованный проект поколения 3+, который проверен временем. Прототипами данного проекта являются предшествующие проекты поколения «три» АЭС – 92 и АЭС – 91/99, которые получили высокую оценку специалистов. </w:t>
      </w:r>
    </w:p>
    <w:p w:rsidR="00A801C9" w:rsidRPr="00375C5D" w:rsidRDefault="00A801C9" w:rsidP="00A801C9">
      <w:pPr>
        <w:tabs>
          <w:tab w:val="left" w:pos="993"/>
        </w:tabs>
        <w:suppressAutoHyphens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75C5D">
        <w:rPr>
          <w:rFonts w:ascii="Times New Roman" w:eastAsiaTheme="minorEastAsia" w:hAnsi="Times New Roman"/>
          <w:sz w:val="28"/>
          <w:szCs w:val="28"/>
        </w:rPr>
        <w:t>Кроме того, по данному проекту эксплуатируется энергоблок на Нововоронежской АЭС-2, а также в завершающей стадии строительства находится энергоблок на Ленинградской АЭС-2.</w:t>
      </w:r>
    </w:p>
    <w:p w:rsidR="00A801C9" w:rsidRPr="00375C5D" w:rsidRDefault="00A801C9" w:rsidP="00A801C9">
      <w:pPr>
        <w:tabs>
          <w:tab w:val="left" w:pos="993"/>
        </w:tabs>
        <w:suppressAutoHyphens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375C5D">
        <w:rPr>
          <w:rFonts w:ascii="Times New Roman" w:eastAsiaTheme="minorEastAsia" w:hAnsi="Times New Roman"/>
          <w:sz w:val="28"/>
          <w:szCs w:val="28"/>
        </w:rPr>
        <w:t xml:space="preserve">Наличие первой в мире референтной, то есть действующей, Тяньваньской АЭС нового поколения в Китае, прошедшей гарантийный срок эксплуатации и считающейся одной из самых экологически безопасных и экономичных в мире, являются подтверждением правильности выбора Республикой Беларусь российского проекта АЭС–2006. </w:t>
      </w:r>
    </w:p>
    <w:p w:rsidR="00C35B9C" w:rsidRPr="00375C5D" w:rsidRDefault="00C35B9C" w:rsidP="00A801C9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2A4C75" w:rsidRPr="00375C5D" w:rsidRDefault="002A4C75" w:rsidP="002A4C75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375C5D">
        <w:rPr>
          <w:rFonts w:ascii="Times New Roman" w:hAnsi="Times New Roman"/>
          <w:b/>
          <w:bCs/>
          <w:sz w:val="28"/>
          <w:szCs w:val="28"/>
        </w:rPr>
        <w:t>О ходе реализации проекта строительства Белорусской АЭС</w:t>
      </w:r>
    </w:p>
    <w:p w:rsidR="002A4C75" w:rsidRPr="00375C5D" w:rsidRDefault="002A4C75" w:rsidP="002A4C7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75C5D">
        <w:rPr>
          <w:rFonts w:ascii="Times New Roman" w:hAnsi="Times New Roman"/>
          <w:bCs/>
          <w:sz w:val="28"/>
          <w:szCs w:val="28"/>
        </w:rPr>
        <w:t xml:space="preserve">На данный момент на первом энергоблоке Государственного предприятия «Белорусской АЭС» (далее – БелАЭС) загружено ядерное топливо и операции физического пуска </w:t>
      </w:r>
      <w:r w:rsidR="003E1480" w:rsidRPr="00375C5D">
        <w:rPr>
          <w:rFonts w:ascii="Times New Roman" w:hAnsi="Times New Roman"/>
          <w:bCs/>
          <w:sz w:val="28"/>
          <w:szCs w:val="28"/>
        </w:rPr>
        <w:t xml:space="preserve">на блоке </w:t>
      </w:r>
      <w:r w:rsidRPr="00375C5D">
        <w:rPr>
          <w:rFonts w:ascii="Times New Roman" w:hAnsi="Times New Roman"/>
          <w:bCs/>
          <w:sz w:val="28"/>
          <w:szCs w:val="28"/>
        </w:rPr>
        <w:t>продолжаются.</w:t>
      </w:r>
    </w:p>
    <w:p w:rsidR="00537906" w:rsidRPr="00375C5D" w:rsidRDefault="002A4C75" w:rsidP="002A4C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 xml:space="preserve">Загрузка ядерного топлива в реактор первого энергоблока началась </w:t>
      </w:r>
      <w:r w:rsidRPr="00375C5D">
        <w:rPr>
          <w:rFonts w:ascii="Times New Roman" w:hAnsi="Times New Roman"/>
          <w:sz w:val="28"/>
          <w:szCs w:val="28"/>
        </w:rPr>
        <w:br/>
        <w:t xml:space="preserve">7 августа 2020 г. с учетом принятого </w:t>
      </w:r>
      <w:r w:rsidR="00A20ACE" w:rsidRPr="00375C5D">
        <w:rPr>
          <w:rFonts w:ascii="Times New Roman" w:hAnsi="Times New Roman"/>
          <w:sz w:val="28"/>
          <w:szCs w:val="28"/>
        </w:rPr>
        <w:t xml:space="preserve">Регулятором (Госатомнадзор) </w:t>
      </w:r>
      <w:r w:rsidRPr="00375C5D">
        <w:rPr>
          <w:rFonts w:ascii="Times New Roman" w:hAnsi="Times New Roman"/>
          <w:sz w:val="28"/>
          <w:szCs w:val="28"/>
        </w:rPr>
        <w:t xml:space="preserve">положительного решения о внесении дополнения в лицензию БелАЭС на право осуществления деятельности в области использования атомной энергии, позволяющего выполнить первую загрузку штатной активной зоны реактора первого энергоблока. </w:t>
      </w:r>
    </w:p>
    <w:p w:rsidR="00A20ACE" w:rsidRPr="00375C5D" w:rsidRDefault="00A20ACE" w:rsidP="002A4C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5C5D">
        <w:rPr>
          <w:rFonts w:ascii="Times New Roman" w:hAnsi="Times New Roman"/>
          <w:sz w:val="28"/>
          <w:szCs w:val="28"/>
        </w:rPr>
        <w:t>П</w:t>
      </w:r>
      <w:r w:rsidR="003E1480" w:rsidRPr="00375C5D">
        <w:rPr>
          <w:rFonts w:ascii="Times New Roman" w:hAnsi="Times New Roman"/>
          <w:sz w:val="28"/>
          <w:szCs w:val="28"/>
        </w:rPr>
        <w:t xml:space="preserve">од контролем представителей МАГАТЭ </w:t>
      </w:r>
      <w:r w:rsidRPr="00375C5D">
        <w:rPr>
          <w:rFonts w:ascii="Times New Roman" w:hAnsi="Times New Roman"/>
          <w:sz w:val="28"/>
          <w:szCs w:val="28"/>
        </w:rPr>
        <w:t xml:space="preserve">и Госатомнадзора </w:t>
      </w:r>
      <w:r w:rsidR="003E1480" w:rsidRPr="00375C5D">
        <w:rPr>
          <w:rFonts w:ascii="Times New Roman" w:hAnsi="Times New Roman"/>
          <w:sz w:val="28"/>
          <w:szCs w:val="28"/>
        </w:rPr>
        <w:t xml:space="preserve">завершена </w:t>
      </w:r>
      <w:r w:rsidR="002A4C75" w:rsidRPr="00375C5D">
        <w:rPr>
          <w:rFonts w:ascii="Times New Roman" w:hAnsi="Times New Roman"/>
          <w:sz w:val="28"/>
          <w:szCs w:val="28"/>
        </w:rPr>
        <w:t>загру</w:t>
      </w:r>
      <w:r w:rsidR="003E1480" w:rsidRPr="00375C5D">
        <w:rPr>
          <w:rFonts w:ascii="Times New Roman" w:hAnsi="Times New Roman"/>
          <w:sz w:val="28"/>
          <w:szCs w:val="28"/>
        </w:rPr>
        <w:t>зка всех</w:t>
      </w:r>
      <w:r w:rsidR="002A4C75" w:rsidRPr="00375C5D">
        <w:rPr>
          <w:rFonts w:ascii="Times New Roman" w:hAnsi="Times New Roman"/>
          <w:sz w:val="28"/>
          <w:szCs w:val="28"/>
        </w:rPr>
        <w:t xml:space="preserve"> 163 </w:t>
      </w:r>
      <w:r w:rsidR="003E1480" w:rsidRPr="00375C5D">
        <w:rPr>
          <w:rFonts w:ascii="Times New Roman" w:hAnsi="Times New Roman"/>
          <w:sz w:val="28"/>
          <w:szCs w:val="28"/>
        </w:rPr>
        <w:t>тепловыделяющих сборок</w:t>
      </w:r>
      <w:r w:rsidR="002A4C75" w:rsidRPr="00375C5D">
        <w:rPr>
          <w:rFonts w:ascii="Times New Roman" w:hAnsi="Times New Roman"/>
          <w:sz w:val="28"/>
          <w:szCs w:val="28"/>
        </w:rPr>
        <w:t xml:space="preserve"> в </w:t>
      </w:r>
      <w:r w:rsidR="003E1480" w:rsidRPr="00375C5D">
        <w:rPr>
          <w:rFonts w:ascii="Times New Roman" w:hAnsi="Times New Roman"/>
          <w:sz w:val="28"/>
          <w:szCs w:val="28"/>
        </w:rPr>
        <w:t xml:space="preserve">активную зону </w:t>
      </w:r>
      <w:r w:rsidR="002A4C75" w:rsidRPr="00375C5D">
        <w:rPr>
          <w:rFonts w:ascii="Times New Roman" w:hAnsi="Times New Roman"/>
          <w:sz w:val="28"/>
          <w:szCs w:val="28"/>
        </w:rPr>
        <w:t>реактор</w:t>
      </w:r>
      <w:r w:rsidR="003E1480" w:rsidRPr="00375C5D">
        <w:rPr>
          <w:rFonts w:ascii="Times New Roman" w:hAnsi="Times New Roman"/>
          <w:sz w:val="28"/>
          <w:szCs w:val="28"/>
        </w:rPr>
        <w:t>а</w:t>
      </w:r>
      <w:r w:rsidRPr="00375C5D">
        <w:rPr>
          <w:rFonts w:ascii="Times New Roman" w:hAnsi="Times New Roman"/>
          <w:sz w:val="28"/>
          <w:szCs w:val="28"/>
        </w:rPr>
        <w:t>.</w:t>
      </w:r>
      <w:r w:rsidR="002A4C75" w:rsidRPr="00375C5D">
        <w:rPr>
          <w:rFonts w:ascii="Times New Roman" w:hAnsi="Times New Roman"/>
          <w:sz w:val="28"/>
          <w:szCs w:val="28"/>
        </w:rPr>
        <w:t xml:space="preserve"> Далее</w:t>
      </w:r>
      <w:r w:rsidR="00136961" w:rsidRPr="00375C5D">
        <w:rPr>
          <w:rFonts w:ascii="Times New Roman" w:hAnsi="Times New Roman"/>
          <w:sz w:val="28"/>
          <w:szCs w:val="28"/>
        </w:rPr>
        <w:t>,</w:t>
      </w:r>
      <w:r w:rsidR="002A4C75" w:rsidRPr="00375C5D">
        <w:rPr>
          <w:rFonts w:ascii="Times New Roman" w:hAnsi="Times New Roman"/>
          <w:sz w:val="28"/>
          <w:szCs w:val="28"/>
        </w:rPr>
        <w:t xml:space="preserve"> </w:t>
      </w:r>
      <w:r w:rsidR="00F9102C" w:rsidRPr="00375C5D">
        <w:rPr>
          <w:rFonts w:ascii="Times New Roman" w:hAnsi="Times New Roman"/>
          <w:sz w:val="28"/>
          <w:szCs w:val="28"/>
        </w:rPr>
        <w:t>в соответствии с регламентом и полученными разрешениями (лицензия) Госатомнадзора</w:t>
      </w:r>
      <w:r w:rsidR="00136961" w:rsidRPr="00375C5D">
        <w:rPr>
          <w:rFonts w:ascii="Times New Roman" w:hAnsi="Times New Roman"/>
          <w:sz w:val="28"/>
          <w:szCs w:val="28"/>
        </w:rPr>
        <w:t>,</w:t>
      </w:r>
      <w:r w:rsidR="002A4C75" w:rsidRPr="00375C5D">
        <w:rPr>
          <w:rFonts w:ascii="Times New Roman" w:hAnsi="Times New Roman"/>
          <w:sz w:val="28"/>
          <w:szCs w:val="28"/>
        </w:rPr>
        <w:t xml:space="preserve"> будут проводиться работы </w:t>
      </w:r>
      <w:r w:rsidR="00D91834" w:rsidRPr="00375C5D">
        <w:rPr>
          <w:rFonts w:ascii="Times New Roman" w:hAnsi="Times New Roman"/>
          <w:sz w:val="28"/>
          <w:szCs w:val="28"/>
        </w:rPr>
        <w:t>по</w:t>
      </w:r>
      <w:r w:rsidRPr="00375C5D">
        <w:rPr>
          <w:rFonts w:ascii="Times New Roman" w:hAnsi="Times New Roman"/>
          <w:sz w:val="28"/>
          <w:szCs w:val="28"/>
        </w:rPr>
        <w:t xml:space="preserve"> вывод</w:t>
      </w:r>
      <w:r w:rsidR="00D91834" w:rsidRPr="00375C5D">
        <w:rPr>
          <w:rFonts w:ascii="Times New Roman" w:hAnsi="Times New Roman"/>
          <w:sz w:val="28"/>
          <w:szCs w:val="28"/>
        </w:rPr>
        <w:t>у</w:t>
      </w:r>
      <w:r w:rsidRPr="00375C5D">
        <w:rPr>
          <w:rFonts w:ascii="Times New Roman" w:hAnsi="Times New Roman"/>
          <w:sz w:val="28"/>
          <w:szCs w:val="28"/>
        </w:rPr>
        <w:t xml:space="preserve"> реактора на минимально</w:t>
      </w:r>
      <w:r w:rsidR="00D91834" w:rsidRPr="00375C5D">
        <w:rPr>
          <w:rFonts w:ascii="Times New Roman" w:hAnsi="Times New Roman"/>
          <w:sz w:val="28"/>
          <w:szCs w:val="28"/>
        </w:rPr>
        <w:t>-</w:t>
      </w:r>
      <w:r w:rsidRPr="00375C5D">
        <w:rPr>
          <w:rFonts w:ascii="Times New Roman" w:hAnsi="Times New Roman"/>
          <w:sz w:val="28"/>
          <w:szCs w:val="28"/>
        </w:rPr>
        <w:t>контролируемый уровень</w:t>
      </w:r>
      <w:r w:rsidR="00D91834" w:rsidRPr="00375C5D">
        <w:rPr>
          <w:rFonts w:ascii="Times New Roman" w:hAnsi="Times New Roman"/>
          <w:sz w:val="28"/>
          <w:szCs w:val="28"/>
        </w:rPr>
        <w:t xml:space="preserve">. </w:t>
      </w:r>
      <w:r w:rsidR="00F9102C" w:rsidRPr="00375C5D">
        <w:rPr>
          <w:rFonts w:ascii="Times New Roman" w:hAnsi="Times New Roman"/>
          <w:sz w:val="28"/>
          <w:szCs w:val="28"/>
        </w:rPr>
        <w:t>С</w:t>
      </w:r>
      <w:r w:rsidR="00D91834" w:rsidRPr="00375C5D">
        <w:rPr>
          <w:rFonts w:ascii="Times New Roman" w:hAnsi="Times New Roman"/>
          <w:sz w:val="28"/>
          <w:szCs w:val="28"/>
        </w:rPr>
        <w:t xml:space="preserve"> дальнейш</w:t>
      </w:r>
      <w:r w:rsidR="00F9102C" w:rsidRPr="00375C5D">
        <w:rPr>
          <w:rFonts w:ascii="Times New Roman" w:hAnsi="Times New Roman"/>
          <w:sz w:val="28"/>
          <w:szCs w:val="28"/>
        </w:rPr>
        <w:t>и</w:t>
      </w:r>
      <w:r w:rsidR="00D91834" w:rsidRPr="00375C5D">
        <w:rPr>
          <w:rFonts w:ascii="Times New Roman" w:hAnsi="Times New Roman"/>
          <w:sz w:val="28"/>
          <w:szCs w:val="28"/>
        </w:rPr>
        <w:t xml:space="preserve">м </w:t>
      </w:r>
      <w:r w:rsidRPr="00375C5D">
        <w:rPr>
          <w:rFonts w:ascii="Times New Roman" w:hAnsi="Times New Roman"/>
          <w:sz w:val="28"/>
          <w:szCs w:val="28"/>
        </w:rPr>
        <w:t xml:space="preserve">повышение мощности </w:t>
      </w:r>
      <w:r w:rsidR="00D91834" w:rsidRPr="00375C5D">
        <w:rPr>
          <w:rFonts w:ascii="Times New Roman" w:hAnsi="Times New Roman"/>
          <w:sz w:val="28"/>
          <w:szCs w:val="28"/>
        </w:rPr>
        <w:t xml:space="preserve">энергоблока </w:t>
      </w:r>
      <w:r w:rsidR="00F9102C" w:rsidRPr="00375C5D">
        <w:rPr>
          <w:rFonts w:ascii="Times New Roman" w:hAnsi="Times New Roman"/>
          <w:sz w:val="28"/>
          <w:szCs w:val="28"/>
        </w:rPr>
        <w:t>и</w:t>
      </w:r>
      <w:r w:rsidR="00D91834" w:rsidRPr="00375C5D">
        <w:rPr>
          <w:rFonts w:ascii="Times New Roman" w:hAnsi="Times New Roman"/>
          <w:sz w:val="28"/>
          <w:szCs w:val="28"/>
        </w:rPr>
        <w:t xml:space="preserve"> </w:t>
      </w:r>
      <w:r w:rsidRPr="00375C5D">
        <w:rPr>
          <w:rFonts w:ascii="Times New Roman" w:hAnsi="Times New Roman"/>
          <w:sz w:val="28"/>
          <w:szCs w:val="28"/>
        </w:rPr>
        <w:t>последующим включением в энерг</w:t>
      </w:r>
      <w:r w:rsidR="00D91834" w:rsidRPr="00375C5D">
        <w:rPr>
          <w:rFonts w:ascii="Times New Roman" w:hAnsi="Times New Roman"/>
          <w:sz w:val="28"/>
          <w:szCs w:val="28"/>
        </w:rPr>
        <w:t>осеть</w:t>
      </w:r>
      <w:r w:rsidRPr="00375C5D">
        <w:rPr>
          <w:rFonts w:ascii="Times New Roman" w:hAnsi="Times New Roman"/>
          <w:sz w:val="28"/>
          <w:szCs w:val="28"/>
        </w:rPr>
        <w:t xml:space="preserve"> </w:t>
      </w:r>
      <w:r w:rsidR="00D91834" w:rsidRPr="00375C5D">
        <w:rPr>
          <w:rFonts w:ascii="Times New Roman" w:hAnsi="Times New Roman"/>
          <w:sz w:val="28"/>
          <w:szCs w:val="28"/>
        </w:rPr>
        <w:t xml:space="preserve">и его </w:t>
      </w:r>
      <w:r w:rsidRPr="00375C5D">
        <w:rPr>
          <w:rFonts w:ascii="Times New Roman" w:hAnsi="Times New Roman"/>
          <w:sz w:val="28"/>
          <w:szCs w:val="28"/>
        </w:rPr>
        <w:t>вывод</w:t>
      </w:r>
      <w:r w:rsidR="00D91834" w:rsidRPr="00375C5D">
        <w:rPr>
          <w:rFonts w:ascii="Times New Roman" w:hAnsi="Times New Roman"/>
          <w:sz w:val="28"/>
          <w:szCs w:val="28"/>
        </w:rPr>
        <w:t>ом на проектную мощность</w:t>
      </w:r>
      <w:r w:rsidRPr="00375C5D">
        <w:rPr>
          <w:rFonts w:ascii="Times New Roman" w:hAnsi="Times New Roman"/>
          <w:sz w:val="28"/>
          <w:szCs w:val="28"/>
        </w:rPr>
        <w:t>.</w:t>
      </w:r>
    </w:p>
    <w:p w:rsidR="00375C5D" w:rsidRDefault="00375C5D" w:rsidP="002A4C7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C75" w:rsidRPr="004F41EC" w:rsidRDefault="002A4C75" w:rsidP="002A4C7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41EC">
        <w:rPr>
          <w:rFonts w:ascii="Times New Roman" w:hAnsi="Times New Roman"/>
          <w:b/>
          <w:sz w:val="28"/>
          <w:szCs w:val="28"/>
        </w:rPr>
        <w:t xml:space="preserve">Ввод Белорусской АЭС в эксплуатацию позволит обеспечить около трети внутренних потребностей страны в электроэнергии, замещать </w:t>
      </w:r>
      <w:r w:rsidRPr="004F41EC">
        <w:rPr>
          <w:rFonts w:ascii="Times New Roman" w:hAnsi="Times New Roman"/>
          <w:b/>
          <w:sz w:val="28"/>
          <w:szCs w:val="28"/>
        </w:rPr>
        <w:br/>
        <w:t>4,5 млрд куб. метров природного газа в год, ежегодно уменьшать выбросы парниковых газов более чем на 7 млн т.</w:t>
      </w:r>
    </w:p>
    <w:sectPr w:rsidR="002A4C75" w:rsidRPr="004F41EC" w:rsidSect="00FA3C54">
      <w:headerReference w:type="default" r:id="rId8"/>
      <w:footerReference w:type="default" r:id="rId9"/>
      <w:footerReference w:type="first" r:id="rId10"/>
      <w:pgSz w:w="11906" w:h="16838" w:code="9"/>
      <w:pgMar w:top="284" w:right="567" w:bottom="426" w:left="1701" w:header="283" w:footer="283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FD" w:rsidRDefault="003B1DFD">
      <w:r>
        <w:separator/>
      </w:r>
    </w:p>
  </w:endnote>
  <w:endnote w:type="continuationSeparator" w:id="0">
    <w:p w:rsidR="003B1DFD" w:rsidRDefault="003B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anumGothic">
    <w:altName w:val="Arial Unicode MS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18F" w:rsidRDefault="00A9718F">
    <w:pPr>
      <w:pStyle w:val="a6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2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18F" w:rsidRDefault="00A9718F">
    <w:pPr>
      <w:pStyle w:val="a6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MERGEREC Экземпляр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2 "</w:instrText>
    </w:r>
    <w:r>
      <w:rPr>
        <w:sz w:val="16"/>
      </w:rPr>
      <w:fldChar w:fldCharType="begin"/>
    </w:r>
    <w:r>
      <w:rPr>
        <w:sz w:val="16"/>
      </w:rPr>
      <w:instrText xml:space="preserve"> IF </w:instrTex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= </w:instrTex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noProof/>
        <w:sz w:val="16"/>
      </w:rPr>
      <w:instrText>1</w:instrText>
    </w:r>
    <w:r>
      <w:rPr>
        <w:sz w:val="16"/>
      </w:rPr>
      <w:fldChar w:fldCharType="end"/>
    </w:r>
    <w:r>
      <w:rPr>
        <w:sz w:val="16"/>
      </w:rPr>
      <w:instrText xml:space="preserve"> "</w:instrText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sz w:val="16"/>
      </w:rPr>
      <w:fldChar w:fldCharType="end"/>
    </w:r>
    <w:r>
      <w:rPr>
        <w:sz w:val="16"/>
      </w:rPr>
      <w:instrText xml:space="preserve">     Мозерова"</w:instrText>
    </w:r>
    <w:r>
      <w:rPr>
        <w:sz w:val="16"/>
      </w:rPr>
      <w:fldChar w:fldCharType="separate"/>
    </w:r>
    <w:r>
      <w:rPr>
        <w:noProof/>
        <w:sz w:val="16"/>
      </w:rPr>
      <w:fldChar w:fldCharType="begin"/>
    </w:r>
    <w:r>
      <w:rPr>
        <w:noProof/>
        <w:sz w:val="16"/>
      </w:rPr>
      <w:instrText xml:space="preserve"> FILENAME </w:instrText>
    </w:r>
    <w:r>
      <w:rPr>
        <w:noProof/>
        <w:sz w:val="16"/>
      </w:rPr>
      <w:fldChar w:fldCharType="separate"/>
    </w:r>
    <w:r>
      <w:rPr>
        <w:noProof/>
        <w:sz w:val="16"/>
      </w:rPr>
      <w:instrText>Новый цветной бланк.dot</w:instrText>
    </w:r>
    <w:r>
      <w:rPr>
        <w:noProof/>
        <w:sz w:val="16"/>
      </w:rPr>
      <w:fldChar w:fldCharType="end"/>
    </w:r>
    <w:r>
      <w:rPr>
        <w:noProof/>
        <w:sz w:val="16"/>
      </w:rPr>
      <w:instrText xml:space="preserve">     Мозерова</w:instrText>
    </w:r>
    <w:r>
      <w:rPr>
        <w:sz w:val="16"/>
      </w:rPr>
      <w:fldChar w:fldCharType="end"/>
    </w:r>
    <w:r>
      <w:rPr>
        <w:sz w:val="16"/>
      </w:rPr>
      <w:instrText>"</w:instrTex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FD" w:rsidRDefault="003B1DFD">
      <w:r>
        <w:separator/>
      </w:r>
    </w:p>
  </w:footnote>
  <w:footnote w:type="continuationSeparator" w:id="0">
    <w:p w:rsidR="003B1DFD" w:rsidRDefault="003B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18F" w:rsidRDefault="00A9718F">
    <w:pPr>
      <w:pStyle w:val="a3"/>
      <w:spacing w:after="360"/>
      <w:jc w:val="center"/>
      <w:rPr>
        <w:sz w:val="26"/>
      </w:rPr>
    </w:pPr>
    <w:r>
      <w:rPr>
        <w:sz w:val="26"/>
      </w:rPr>
      <w:fldChar w:fldCharType="begin"/>
    </w:r>
    <w:r>
      <w:rPr>
        <w:sz w:val="26"/>
      </w:rPr>
      <w:instrText xml:space="preserve"> PAGE </w:instrText>
    </w:r>
    <w:r>
      <w:rPr>
        <w:sz w:val="26"/>
      </w:rPr>
      <w:fldChar w:fldCharType="separate"/>
    </w:r>
    <w:r w:rsidR="007317C4">
      <w:rPr>
        <w:noProof/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5BF1"/>
    <w:multiLevelType w:val="hybridMultilevel"/>
    <w:tmpl w:val="390E4C2C"/>
    <w:lvl w:ilvl="0" w:tplc="3E3863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96B"/>
    <w:rsid w:val="000016B6"/>
    <w:rsid w:val="0001043D"/>
    <w:rsid w:val="000203E5"/>
    <w:rsid w:val="00036DF4"/>
    <w:rsid w:val="0004275D"/>
    <w:rsid w:val="0005214D"/>
    <w:rsid w:val="000A5DC9"/>
    <w:rsid w:val="000F59ED"/>
    <w:rsid w:val="001114D8"/>
    <w:rsid w:val="00123169"/>
    <w:rsid w:val="0012690D"/>
    <w:rsid w:val="00133699"/>
    <w:rsid w:val="00136961"/>
    <w:rsid w:val="00141991"/>
    <w:rsid w:val="00163B7C"/>
    <w:rsid w:val="00166E3D"/>
    <w:rsid w:val="001872DF"/>
    <w:rsid w:val="00193229"/>
    <w:rsid w:val="001954C6"/>
    <w:rsid w:val="001A5B9A"/>
    <w:rsid w:val="001C2900"/>
    <w:rsid w:val="001E46E7"/>
    <w:rsid w:val="001F1E0C"/>
    <w:rsid w:val="001F4530"/>
    <w:rsid w:val="0021117F"/>
    <w:rsid w:val="00216276"/>
    <w:rsid w:val="00241100"/>
    <w:rsid w:val="00250346"/>
    <w:rsid w:val="00267CA6"/>
    <w:rsid w:val="002720FF"/>
    <w:rsid w:val="00293DAE"/>
    <w:rsid w:val="00296F4A"/>
    <w:rsid w:val="002A23BB"/>
    <w:rsid w:val="002A2E9F"/>
    <w:rsid w:val="002A4C75"/>
    <w:rsid w:val="002C3345"/>
    <w:rsid w:val="002C37CD"/>
    <w:rsid w:val="002F20F1"/>
    <w:rsid w:val="002F37DD"/>
    <w:rsid w:val="002F4902"/>
    <w:rsid w:val="003138F4"/>
    <w:rsid w:val="00320543"/>
    <w:rsid w:val="00325A9A"/>
    <w:rsid w:val="00325C29"/>
    <w:rsid w:val="00333E50"/>
    <w:rsid w:val="00364E35"/>
    <w:rsid w:val="00375C5D"/>
    <w:rsid w:val="00380C5A"/>
    <w:rsid w:val="00392604"/>
    <w:rsid w:val="00397711"/>
    <w:rsid w:val="003B1DFD"/>
    <w:rsid w:val="003B6CFC"/>
    <w:rsid w:val="003B7D80"/>
    <w:rsid w:val="003D27BE"/>
    <w:rsid w:val="003E1480"/>
    <w:rsid w:val="003E4AFF"/>
    <w:rsid w:val="003F7D8B"/>
    <w:rsid w:val="00422BA8"/>
    <w:rsid w:val="00431CBF"/>
    <w:rsid w:val="00433488"/>
    <w:rsid w:val="004405ED"/>
    <w:rsid w:val="0044163B"/>
    <w:rsid w:val="0045157F"/>
    <w:rsid w:val="00462AAC"/>
    <w:rsid w:val="004A6EAB"/>
    <w:rsid w:val="004B591A"/>
    <w:rsid w:val="004D13EB"/>
    <w:rsid w:val="004D29E1"/>
    <w:rsid w:val="004D7D6B"/>
    <w:rsid w:val="004F2EB2"/>
    <w:rsid w:val="004F41EC"/>
    <w:rsid w:val="00507206"/>
    <w:rsid w:val="00537906"/>
    <w:rsid w:val="005B6A47"/>
    <w:rsid w:val="005C62D7"/>
    <w:rsid w:val="005D1EBE"/>
    <w:rsid w:val="005D685D"/>
    <w:rsid w:val="006002E2"/>
    <w:rsid w:val="0061299B"/>
    <w:rsid w:val="006277C3"/>
    <w:rsid w:val="0064761B"/>
    <w:rsid w:val="006564A4"/>
    <w:rsid w:val="0066458D"/>
    <w:rsid w:val="00664D34"/>
    <w:rsid w:val="00666531"/>
    <w:rsid w:val="00670A06"/>
    <w:rsid w:val="0067377F"/>
    <w:rsid w:val="006816E0"/>
    <w:rsid w:val="00693998"/>
    <w:rsid w:val="006D1348"/>
    <w:rsid w:val="006F5EDF"/>
    <w:rsid w:val="007060A5"/>
    <w:rsid w:val="00714AF7"/>
    <w:rsid w:val="00717762"/>
    <w:rsid w:val="00722DD4"/>
    <w:rsid w:val="007317C4"/>
    <w:rsid w:val="00732C0B"/>
    <w:rsid w:val="0078215F"/>
    <w:rsid w:val="007A0621"/>
    <w:rsid w:val="007A1B0E"/>
    <w:rsid w:val="007B02C1"/>
    <w:rsid w:val="007C4758"/>
    <w:rsid w:val="007F3F78"/>
    <w:rsid w:val="007F7CAA"/>
    <w:rsid w:val="00810B2C"/>
    <w:rsid w:val="00826158"/>
    <w:rsid w:val="0088694B"/>
    <w:rsid w:val="00891953"/>
    <w:rsid w:val="008969E8"/>
    <w:rsid w:val="00896A90"/>
    <w:rsid w:val="008A0558"/>
    <w:rsid w:val="008A2D59"/>
    <w:rsid w:val="008A3017"/>
    <w:rsid w:val="008C53B7"/>
    <w:rsid w:val="008E7FEF"/>
    <w:rsid w:val="00913788"/>
    <w:rsid w:val="00947F18"/>
    <w:rsid w:val="00981692"/>
    <w:rsid w:val="009973C2"/>
    <w:rsid w:val="009A55E2"/>
    <w:rsid w:val="009B3BC1"/>
    <w:rsid w:val="009C6583"/>
    <w:rsid w:val="009D2AFF"/>
    <w:rsid w:val="00A00672"/>
    <w:rsid w:val="00A02901"/>
    <w:rsid w:val="00A13E1D"/>
    <w:rsid w:val="00A20ACE"/>
    <w:rsid w:val="00A403C5"/>
    <w:rsid w:val="00A801C9"/>
    <w:rsid w:val="00A823A6"/>
    <w:rsid w:val="00A9718F"/>
    <w:rsid w:val="00AA12D4"/>
    <w:rsid w:val="00AA469B"/>
    <w:rsid w:val="00AB709D"/>
    <w:rsid w:val="00AC4F21"/>
    <w:rsid w:val="00AC5751"/>
    <w:rsid w:val="00AF2BFC"/>
    <w:rsid w:val="00AF2CDE"/>
    <w:rsid w:val="00B1102C"/>
    <w:rsid w:val="00B24429"/>
    <w:rsid w:val="00B61A24"/>
    <w:rsid w:val="00B61DE7"/>
    <w:rsid w:val="00BB2693"/>
    <w:rsid w:val="00BD2381"/>
    <w:rsid w:val="00BD32D5"/>
    <w:rsid w:val="00BE2ABD"/>
    <w:rsid w:val="00BF53B9"/>
    <w:rsid w:val="00C0696F"/>
    <w:rsid w:val="00C07B4A"/>
    <w:rsid w:val="00C1504E"/>
    <w:rsid w:val="00C2686E"/>
    <w:rsid w:val="00C35B9C"/>
    <w:rsid w:val="00C53499"/>
    <w:rsid w:val="00C611A8"/>
    <w:rsid w:val="00C72B73"/>
    <w:rsid w:val="00CC2E7E"/>
    <w:rsid w:val="00CD0758"/>
    <w:rsid w:val="00CE5E8A"/>
    <w:rsid w:val="00CE72F2"/>
    <w:rsid w:val="00D167BB"/>
    <w:rsid w:val="00D33EA0"/>
    <w:rsid w:val="00D55501"/>
    <w:rsid w:val="00D572C5"/>
    <w:rsid w:val="00D60856"/>
    <w:rsid w:val="00D91834"/>
    <w:rsid w:val="00DB584F"/>
    <w:rsid w:val="00DD1249"/>
    <w:rsid w:val="00E3725D"/>
    <w:rsid w:val="00E558E4"/>
    <w:rsid w:val="00E5690C"/>
    <w:rsid w:val="00EB6D7E"/>
    <w:rsid w:val="00EC2B7B"/>
    <w:rsid w:val="00ED1E4C"/>
    <w:rsid w:val="00F01918"/>
    <w:rsid w:val="00F0496B"/>
    <w:rsid w:val="00F37373"/>
    <w:rsid w:val="00F404D2"/>
    <w:rsid w:val="00F41E74"/>
    <w:rsid w:val="00F9102C"/>
    <w:rsid w:val="00FA3C54"/>
    <w:rsid w:val="00FA424B"/>
    <w:rsid w:val="00FC2577"/>
    <w:rsid w:val="00FC2C5B"/>
    <w:rsid w:val="00FC7F0F"/>
    <w:rsid w:val="00FE0A86"/>
    <w:rsid w:val="00FF0639"/>
    <w:rsid w:val="00FF0EF9"/>
    <w:rsid w:val="00FF67C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F4E5DC-561D-458E-8D5A-B55B02DB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pacing w:val="24"/>
      <w:sz w:val="24"/>
    </w:rPr>
  </w:style>
  <w:style w:type="paragraph" w:styleId="a5">
    <w:name w:val="Body Text"/>
    <w:basedOn w:val="a"/>
    <w:pPr>
      <w:spacing w:after="120"/>
    </w:pPr>
    <w:rPr>
      <w:spacing w:val="24"/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F0496B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C07B4A"/>
    <w:rPr>
      <w:rFonts w:ascii="Arial" w:hAnsi="Arial"/>
      <w:spacing w:val="24"/>
      <w:sz w:val="24"/>
    </w:rPr>
  </w:style>
  <w:style w:type="paragraph" w:styleId="a8">
    <w:name w:val="List Paragraph"/>
    <w:basedOn w:val="a"/>
    <w:uiPriority w:val="34"/>
    <w:qFormat/>
    <w:rsid w:val="0039771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3;&#1086;&#1074;&#1099;&#1081;%20&#1094;&#1074;&#1077;&#1090;&#1085;&#1086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A835-1429-441A-AACC-AC193DE1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цветной бланк.dot</Template>
  <TotalTime>1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JOГO JARDIM x8?! PORRA! DIA 8 VOTA NГO!</dc:subject>
  <dc:creator>VOTA NГO А REGIONALIZAЗГO! SIM AO REFORЗO DO MUNICIPALISMO!</dc:creator>
  <cp:keywords/>
  <dc:description>A REGIONALIZAЗГO Й UM ERRO COLOSSAL!</dc:description>
  <cp:lastModifiedBy>Маргарита В. Лобкова</cp:lastModifiedBy>
  <cp:revision>2</cp:revision>
  <cp:lastPrinted>2020-08-31T14:35:00Z</cp:lastPrinted>
  <dcterms:created xsi:type="dcterms:W3CDTF">2020-09-09T12:56:00Z</dcterms:created>
  <dcterms:modified xsi:type="dcterms:W3CDTF">2020-09-09T12:56:00Z</dcterms:modified>
</cp:coreProperties>
</file>